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92" w:rsidRPr="007C0037" w:rsidRDefault="00523E92" w:rsidP="007C0037">
      <w:pPr>
        <w:jc w:val="center"/>
        <w:rPr>
          <w:b/>
          <w:lang w:val="fr-BE"/>
        </w:rPr>
      </w:pPr>
      <w:r w:rsidRPr="007C0037">
        <w:rPr>
          <w:b/>
          <w:lang w:val="fr-BE"/>
        </w:rPr>
        <w:t xml:space="preserve">Recours introduit le 2 octobre 2019 — </w:t>
      </w:r>
      <w:proofErr w:type="spellStart"/>
      <w:r w:rsidRPr="007C0037">
        <w:rPr>
          <w:b/>
          <w:lang w:val="fr-BE"/>
        </w:rPr>
        <w:t>Novomatic</w:t>
      </w:r>
      <w:proofErr w:type="spellEnd"/>
      <w:r w:rsidRPr="007C0037">
        <w:rPr>
          <w:b/>
          <w:lang w:val="fr-BE"/>
        </w:rPr>
        <w:t xml:space="preserve">/EUIPO — </w:t>
      </w:r>
      <w:proofErr w:type="spellStart"/>
      <w:r w:rsidRPr="007C0037">
        <w:rPr>
          <w:b/>
          <w:lang w:val="fr-BE"/>
        </w:rPr>
        <w:t>Brouwerij</w:t>
      </w:r>
      <w:proofErr w:type="spellEnd"/>
      <w:r w:rsidRPr="007C0037">
        <w:rPr>
          <w:b/>
          <w:lang w:val="fr-BE"/>
        </w:rPr>
        <w:t xml:space="preserve"> Haacht (Primus)</w:t>
      </w:r>
    </w:p>
    <w:p w:rsidR="00523E92" w:rsidRPr="007C0037" w:rsidRDefault="00523E92" w:rsidP="007C0037">
      <w:pPr>
        <w:jc w:val="center"/>
        <w:rPr>
          <w:b/>
          <w:lang w:val="fr-BE"/>
        </w:rPr>
      </w:pPr>
      <w:r w:rsidRPr="007C0037">
        <w:rPr>
          <w:b/>
          <w:lang w:val="fr-BE"/>
        </w:rPr>
        <w:t>(affaire T-669/19)</w:t>
      </w:r>
    </w:p>
    <w:p w:rsidR="00523E92" w:rsidRPr="00DA673E" w:rsidRDefault="00523E92" w:rsidP="007C0037">
      <w:pPr>
        <w:jc w:val="center"/>
        <w:rPr>
          <w:lang w:val="fr-BE"/>
        </w:rPr>
      </w:pPr>
      <w:r w:rsidRPr="00DA673E">
        <w:rPr>
          <w:lang w:val="fr-BE"/>
        </w:rPr>
        <w:t>(2019/C 399/113)</w:t>
      </w:r>
    </w:p>
    <w:p w:rsidR="00523E92" w:rsidRPr="00DA673E" w:rsidRDefault="00523E92" w:rsidP="007C0037">
      <w:pPr>
        <w:jc w:val="center"/>
        <w:rPr>
          <w:lang w:val="fr-BE"/>
        </w:rPr>
      </w:pPr>
      <w:r w:rsidRPr="007C0037">
        <w:rPr>
          <w:i/>
          <w:lang w:val="fr-BE"/>
        </w:rPr>
        <w:t>Langue de procédure</w:t>
      </w:r>
      <w:r w:rsidRPr="00DA673E">
        <w:rPr>
          <w:lang w:val="fr-BE"/>
        </w:rPr>
        <w:t>: Anglais</w:t>
      </w:r>
    </w:p>
    <w:p w:rsidR="00523E92" w:rsidRPr="007C0037" w:rsidRDefault="00523E92" w:rsidP="00523E92">
      <w:pPr>
        <w:rPr>
          <w:b/>
          <w:lang w:val="fr-BE"/>
        </w:rPr>
      </w:pPr>
      <w:r w:rsidRPr="007C0037">
        <w:rPr>
          <w:b/>
          <w:lang w:val="fr-BE"/>
        </w:rPr>
        <w:t>Parties</w:t>
      </w:r>
    </w:p>
    <w:p w:rsidR="00523E92" w:rsidRPr="00DA673E" w:rsidRDefault="00523E92" w:rsidP="00523E92">
      <w:pPr>
        <w:rPr>
          <w:lang w:val="fr-BE"/>
        </w:rPr>
      </w:pPr>
      <w:r w:rsidRPr="007C0037">
        <w:rPr>
          <w:i/>
          <w:lang w:val="fr-BE"/>
        </w:rPr>
        <w:t>Requérante</w:t>
      </w:r>
      <w:r w:rsidRPr="00DA673E">
        <w:rPr>
          <w:lang w:val="fr-BE"/>
        </w:rPr>
        <w:t xml:space="preserve">: </w:t>
      </w:r>
      <w:proofErr w:type="spellStart"/>
      <w:r w:rsidRPr="00DA673E">
        <w:rPr>
          <w:lang w:val="fr-BE"/>
        </w:rPr>
        <w:t>Novomatic</w:t>
      </w:r>
      <w:proofErr w:type="spellEnd"/>
      <w:r w:rsidRPr="00DA673E">
        <w:rPr>
          <w:lang w:val="fr-BE"/>
        </w:rPr>
        <w:t xml:space="preserve"> AG (</w:t>
      </w:r>
      <w:proofErr w:type="spellStart"/>
      <w:r w:rsidRPr="00DA673E">
        <w:rPr>
          <w:lang w:val="fr-BE"/>
        </w:rPr>
        <w:t>Gumpoldskirchen</w:t>
      </w:r>
      <w:proofErr w:type="spellEnd"/>
      <w:r w:rsidRPr="00DA673E">
        <w:rPr>
          <w:lang w:val="fr-BE"/>
        </w:rPr>
        <w:t xml:space="preserve">, Autriche) (représentant: W. </w:t>
      </w:r>
      <w:proofErr w:type="spellStart"/>
      <w:r w:rsidRPr="00DA673E">
        <w:rPr>
          <w:lang w:val="fr-BE"/>
        </w:rPr>
        <w:t>Mosing</w:t>
      </w:r>
      <w:proofErr w:type="spellEnd"/>
      <w:r w:rsidRPr="00DA673E">
        <w:rPr>
          <w:lang w:val="fr-BE"/>
        </w:rPr>
        <w:t>, avocat)</w:t>
      </w:r>
    </w:p>
    <w:p w:rsidR="00523E92" w:rsidRPr="00DA673E" w:rsidRDefault="00523E92" w:rsidP="00523E92">
      <w:pPr>
        <w:rPr>
          <w:lang w:val="fr-BE"/>
        </w:rPr>
      </w:pPr>
      <w:r w:rsidRPr="007C0037">
        <w:rPr>
          <w:i/>
          <w:lang w:val="fr-BE"/>
        </w:rPr>
        <w:t>Partie défenderesse</w:t>
      </w:r>
      <w:r w:rsidRPr="00DA673E">
        <w:rPr>
          <w:lang w:val="fr-BE"/>
        </w:rPr>
        <w:t>: L’Office de l’Union européenne pour la propriété intellectuelle</w:t>
      </w:r>
    </w:p>
    <w:p w:rsidR="00523E92" w:rsidRPr="00DA673E" w:rsidRDefault="00523E92" w:rsidP="00523E92">
      <w:pPr>
        <w:rPr>
          <w:lang w:val="fr-BE"/>
        </w:rPr>
      </w:pPr>
      <w:r w:rsidRPr="007C0037">
        <w:rPr>
          <w:i/>
          <w:lang w:val="fr-BE"/>
        </w:rPr>
        <w:t>Autre partie devant la chambre de recours</w:t>
      </w:r>
      <w:r w:rsidRPr="00DA673E">
        <w:rPr>
          <w:lang w:val="fr-BE"/>
        </w:rPr>
        <w:t xml:space="preserve">: </w:t>
      </w:r>
      <w:proofErr w:type="spellStart"/>
      <w:r w:rsidRPr="00DA673E">
        <w:rPr>
          <w:lang w:val="fr-BE"/>
        </w:rPr>
        <w:t>Brouwerij</w:t>
      </w:r>
      <w:proofErr w:type="spellEnd"/>
      <w:r w:rsidRPr="00DA673E">
        <w:rPr>
          <w:lang w:val="fr-BE"/>
        </w:rPr>
        <w:t xml:space="preserve"> Haacht NV (Boortmeerbeek, Belgique)</w:t>
      </w:r>
    </w:p>
    <w:p w:rsidR="00523E92" w:rsidRDefault="00523E92" w:rsidP="00523E92">
      <w:pPr>
        <w:rPr>
          <w:lang w:val="fr-BE"/>
        </w:rPr>
      </w:pPr>
      <w:r w:rsidRPr="00DA673E">
        <w:rPr>
          <w:lang w:val="fr-BE"/>
        </w:rPr>
        <w:t>25.11.2019 FR Journal officiel de l’Union européenne C 399/95</w:t>
      </w:r>
    </w:p>
    <w:p w:rsidR="007C0037" w:rsidRPr="00DA673E" w:rsidRDefault="007C0037" w:rsidP="00523E92">
      <w:pPr>
        <w:rPr>
          <w:lang w:val="fr-BE"/>
        </w:rPr>
      </w:pPr>
    </w:p>
    <w:p w:rsidR="00523E92" w:rsidRPr="007C0037" w:rsidRDefault="00523E92" w:rsidP="00523E92">
      <w:pPr>
        <w:rPr>
          <w:b/>
          <w:lang w:val="fr-BE"/>
        </w:rPr>
      </w:pPr>
      <w:r w:rsidRPr="007C0037">
        <w:rPr>
          <w:b/>
          <w:lang w:val="fr-BE"/>
        </w:rPr>
        <w:t>Données relatives à la procédure devant l’EUIPO</w:t>
      </w:r>
    </w:p>
    <w:p w:rsidR="00523E92" w:rsidRPr="00DA673E" w:rsidRDefault="00523E92" w:rsidP="00523E92">
      <w:pPr>
        <w:rPr>
          <w:lang w:val="fr-BE"/>
        </w:rPr>
      </w:pPr>
      <w:r w:rsidRPr="007C0037">
        <w:rPr>
          <w:i/>
          <w:lang w:val="fr-BE"/>
        </w:rPr>
        <w:t>Demandeur de la marque litigieuse</w:t>
      </w:r>
      <w:r w:rsidRPr="00DA673E">
        <w:rPr>
          <w:lang w:val="fr-BE"/>
        </w:rPr>
        <w:t>: Partie requérante devant le Tribunal</w:t>
      </w:r>
    </w:p>
    <w:p w:rsidR="00523E92" w:rsidRPr="00DA673E" w:rsidRDefault="00523E92" w:rsidP="00523E92">
      <w:pPr>
        <w:rPr>
          <w:lang w:val="fr-BE"/>
        </w:rPr>
      </w:pPr>
      <w:r w:rsidRPr="007C0037">
        <w:rPr>
          <w:i/>
          <w:lang w:val="fr-BE"/>
        </w:rPr>
        <w:t>Marque litigieuse</w:t>
      </w:r>
      <w:r w:rsidRPr="00DA673E">
        <w:rPr>
          <w:lang w:val="fr-BE"/>
        </w:rPr>
        <w:t>: Demande de marque de l’Union européenne verbale Primus — Demande d’enregistrement no 14 712 723</w:t>
      </w:r>
    </w:p>
    <w:p w:rsidR="00523E92" w:rsidRPr="00DA673E" w:rsidRDefault="00523E92" w:rsidP="00523E92">
      <w:pPr>
        <w:rPr>
          <w:lang w:val="fr-BE"/>
        </w:rPr>
      </w:pPr>
      <w:r w:rsidRPr="007C0037">
        <w:rPr>
          <w:i/>
          <w:lang w:val="fr-BE"/>
        </w:rPr>
        <w:t>Procédure devant l’EUIPO</w:t>
      </w:r>
      <w:r w:rsidRPr="00DA673E">
        <w:rPr>
          <w:lang w:val="fr-BE"/>
        </w:rPr>
        <w:t>: Procédure d’opposition</w:t>
      </w:r>
    </w:p>
    <w:p w:rsidR="00523E92" w:rsidRDefault="00523E92" w:rsidP="00523E92">
      <w:pPr>
        <w:rPr>
          <w:lang w:val="fr-BE"/>
        </w:rPr>
      </w:pPr>
      <w:r w:rsidRPr="007C0037">
        <w:rPr>
          <w:i/>
          <w:lang w:val="fr-BE"/>
        </w:rPr>
        <w:t>Décision attaquée</w:t>
      </w:r>
      <w:r w:rsidRPr="00DA673E">
        <w:rPr>
          <w:lang w:val="fr-BE"/>
        </w:rPr>
        <w:t>: Décision de la cinquième chambre de recours de l’EUIPO du 19 juillet 2019 dans l’affaire R 2528/2018-5</w:t>
      </w:r>
    </w:p>
    <w:p w:rsidR="007C0037" w:rsidRPr="00DA673E" w:rsidRDefault="007C0037" w:rsidP="00523E92">
      <w:pPr>
        <w:rPr>
          <w:lang w:val="fr-BE"/>
        </w:rPr>
      </w:pPr>
    </w:p>
    <w:p w:rsidR="00523E92" w:rsidRPr="007C0037" w:rsidRDefault="00523E92" w:rsidP="00523E92">
      <w:pPr>
        <w:rPr>
          <w:b/>
          <w:lang w:val="fr-BE"/>
        </w:rPr>
      </w:pPr>
      <w:r w:rsidRPr="007C0037">
        <w:rPr>
          <w:b/>
          <w:lang w:val="fr-BE"/>
        </w:rPr>
        <w:t>Conclusions</w:t>
      </w:r>
    </w:p>
    <w:p w:rsidR="00523E92" w:rsidRPr="00DA673E" w:rsidRDefault="00523E92" w:rsidP="00523E92">
      <w:pPr>
        <w:rPr>
          <w:lang w:val="fr-BE"/>
        </w:rPr>
      </w:pPr>
      <w:r w:rsidRPr="00DA673E">
        <w:rPr>
          <w:lang w:val="fr-BE"/>
        </w:rPr>
        <w:t xml:space="preserve">La requérante conclut à ce qu’il plaise au Tribunal: </w:t>
      </w:r>
    </w:p>
    <w:p w:rsidR="00523E92" w:rsidRPr="00DA673E" w:rsidRDefault="00523E92" w:rsidP="00523E92">
      <w:pPr>
        <w:rPr>
          <w:lang w:val="fr-BE"/>
        </w:rPr>
      </w:pPr>
      <w:r w:rsidRPr="00DA673E">
        <w:rPr>
          <w:lang w:val="fr-BE"/>
        </w:rPr>
        <w:t xml:space="preserve">— annuler la décision attaquée; </w:t>
      </w:r>
    </w:p>
    <w:p w:rsidR="00523E92" w:rsidRPr="00DA673E" w:rsidRDefault="00523E92" w:rsidP="00523E92">
      <w:pPr>
        <w:rPr>
          <w:lang w:val="fr-BE"/>
        </w:rPr>
      </w:pPr>
      <w:r w:rsidRPr="00DA673E">
        <w:rPr>
          <w:lang w:val="fr-BE"/>
        </w:rPr>
        <w:t xml:space="preserve">— condamner l’EUIPO et, au cas où il intervient par écrit, l’autre partie à la procédure devant l’EUIPO à supporter ses propres dépens et à compenser les dépens exposés par la </w:t>
      </w:r>
      <w:proofErr w:type="spellStart"/>
      <w:r w:rsidRPr="00DA673E">
        <w:rPr>
          <w:lang w:val="fr-BE"/>
        </w:rPr>
        <w:t>Plaintiff</w:t>
      </w:r>
      <w:proofErr w:type="spellEnd"/>
      <w:r w:rsidRPr="00DA673E">
        <w:rPr>
          <w:lang w:val="fr-BE"/>
        </w:rPr>
        <w:t xml:space="preserve"> dans le cadre de la procédure devant le Tribunal et dans la procédure de pourvoi devant le Tribunal.</w:t>
      </w:r>
    </w:p>
    <w:p w:rsidR="00523E92" w:rsidRDefault="00523E92" w:rsidP="00523E92">
      <w:pPr>
        <w:rPr>
          <w:lang w:val="fr-BE"/>
        </w:rPr>
      </w:pPr>
      <w:r w:rsidRPr="00DA673E">
        <w:rPr>
          <w:lang w:val="fr-BE"/>
        </w:rPr>
        <w:t xml:space="preserve">EUIPO. </w:t>
      </w:r>
    </w:p>
    <w:p w:rsidR="007C0037" w:rsidRPr="00DA673E" w:rsidRDefault="007C0037" w:rsidP="00523E92">
      <w:pPr>
        <w:rPr>
          <w:lang w:val="fr-BE"/>
        </w:rPr>
      </w:pPr>
    </w:p>
    <w:p w:rsidR="00523E92" w:rsidRPr="007C0037" w:rsidRDefault="00523E92" w:rsidP="00523E92">
      <w:pPr>
        <w:rPr>
          <w:b/>
          <w:lang w:val="fr-BE"/>
        </w:rPr>
      </w:pPr>
      <w:r w:rsidRPr="007C0037">
        <w:rPr>
          <w:b/>
          <w:lang w:val="fr-BE"/>
        </w:rPr>
        <w:t>Moyens</w:t>
      </w:r>
    </w:p>
    <w:p w:rsidR="00523E92" w:rsidRPr="00DA673E" w:rsidRDefault="00523E92" w:rsidP="00523E92">
      <w:pPr>
        <w:rPr>
          <w:lang w:val="fr-BE"/>
        </w:rPr>
      </w:pPr>
      <w:r w:rsidRPr="00DA673E">
        <w:rPr>
          <w:lang w:val="fr-BE"/>
        </w:rPr>
        <w:t>— violation des formes substan</w:t>
      </w:r>
      <w:bookmarkStart w:id="0" w:name="_GoBack"/>
      <w:bookmarkEnd w:id="0"/>
      <w:r w:rsidRPr="00DA673E">
        <w:rPr>
          <w:lang w:val="fr-BE"/>
        </w:rPr>
        <w:t xml:space="preserve">tielles, à savoir l’exigence des preuves en termes de sécurité juridique; </w:t>
      </w:r>
    </w:p>
    <w:p w:rsidR="00523E92" w:rsidRPr="00DA673E" w:rsidRDefault="00523E92" w:rsidP="00523E92">
      <w:pPr>
        <w:rPr>
          <w:lang w:val="fr-BE"/>
        </w:rPr>
      </w:pPr>
      <w:r w:rsidRPr="00DA673E">
        <w:rPr>
          <w:lang w:val="fr-BE"/>
        </w:rPr>
        <w:t xml:space="preserve">— la violation du principe de confiance légitime; </w:t>
      </w:r>
    </w:p>
    <w:p w:rsidR="00523E92" w:rsidRPr="00DA673E" w:rsidRDefault="00523E92" w:rsidP="00523E92">
      <w:pPr>
        <w:rPr>
          <w:lang w:val="fr-BE"/>
        </w:rPr>
      </w:pPr>
      <w:r w:rsidRPr="00DA673E">
        <w:rPr>
          <w:lang w:val="fr-BE"/>
        </w:rPr>
        <w:t xml:space="preserve">— violation de l’article 8, paragraphe 5, du règlement (UE) 2017/1001 du Parlement européen et du Conseil;  </w:t>
      </w:r>
    </w:p>
    <w:p w:rsidR="009C010B" w:rsidRPr="00DA673E" w:rsidRDefault="00523E92" w:rsidP="00523E92">
      <w:pPr>
        <w:rPr>
          <w:lang w:val="fr-BE"/>
        </w:rPr>
      </w:pPr>
      <w:r w:rsidRPr="00DA673E">
        <w:rPr>
          <w:lang w:val="fr-BE"/>
        </w:rPr>
        <w:t>— Violation de l’article 7, paragraphe 2, point b), du règlement délégué (UE) 2018/625 de la Commission.</w:t>
      </w:r>
    </w:p>
    <w:sectPr w:rsidR="009C010B" w:rsidRPr="00DA673E" w:rsidSect="00BF5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F5" w:rsidRDefault="00BF55F5" w:rsidP="00BF55F5">
      <w:pPr>
        <w:spacing w:after="0" w:line="240" w:lineRule="auto"/>
      </w:pPr>
      <w:r>
        <w:separator/>
      </w:r>
    </w:p>
  </w:endnote>
  <w:endnote w:type="continuationSeparator" w:id="0">
    <w:p w:rsidR="00BF55F5" w:rsidRDefault="00BF55F5" w:rsidP="00BF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F5" w:rsidRDefault="00BF5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F5" w:rsidRDefault="00BF55F5">
    <w:pPr>
      <w:pStyle w:val="Footer"/>
    </w:pPr>
    <w:proofErr w:type="spellStart"/>
    <w:r>
      <w:t>eTranslation</w:t>
    </w:r>
    <w:proofErr w:type="spellEnd"/>
    <w:r>
      <w:t>/</w:t>
    </w:r>
    <w:proofErr w:type="spellStart"/>
    <w:r>
      <w:t>case</w:t>
    </w:r>
    <w:proofErr w:type="spellEnd"/>
    <w:r>
      <w:t xml:space="preserve"> </w:t>
    </w:r>
    <w:proofErr w:type="spellStart"/>
    <w:r>
      <w:t>law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F5" w:rsidRDefault="00BF5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F5" w:rsidRDefault="00BF55F5" w:rsidP="00BF55F5">
      <w:pPr>
        <w:spacing w:after="0" w:line="240" w:lineRule="auto"/>
      </w:pPr>
      <w:r>
        <w:separator/>
      </w:r>
    </w:p>
  </w:footnote>
  <w:footnote w:type="continuationSeparator" w:id="0">
    <w:p w:rsidR="00BF55F5" w:rsidRDefault="00BF55F5" w:rsidP="00BF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F5" w:rsidRDefault="00BF5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F5" w:rsidRDefault="00BF5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F5" w:rsidRDefault="00BF5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E92"/>
    <w:rsid w:val="000C613B"/>
    <w:rsid w:val="000C623B"/>
    <w:rsid w:val="000F3658"/>
    <w:rsid w:val="00125C61"/>
    <w:rsid w:val="001643CE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5DA7"/>
    <w:rsid w:val="00372C01"/>
    <w:rsid w:val="003B4A63"/>
    <w:rsid w:val="003B541C"/>
    <w:rsid w:val="00484BF4"/>
    <w:rsid w:val="004A6194"/>
    <w:rsid w:val="00504249"/>
    <w:rsid w:val="00514964"/>
    <w:rsid w:val="00523E92"/>
    <w:rsid w:val="005440B7"/>
    <w:rsid w:val="0056037B"/>
    <w:rsid w:val="0057118B"/>
    <w:rsid w:val="005F5071"/>
    <w:rsid w:val="00627D41"/>
    <w:rsid w:val="0064139F"/>
    <w:rsid w:val="006A02DA"/>
    <w:rsid w:val="007C0037"/>
    <w:rsid w:val="008105EB"/>
    <w:rsid w:val="00817B64"/>
    <w:rsid w:val="00872110"/>
    <w:rsid w:val="0088792D"/>
    <w:rsid w:val="00890633"/>
    <w:rsid w:val="008A42E2"/>
    <w:rsid w:val="0092456D"/>
    <w:rsid w:val="009B564A"/>
    <w:rsid w:val="009B7B7C"/>
    <w:rsid w:val="009C010B"/>
    <w:rsid w:val="00A04AC6"/>
    <w:rsid w:val="00A30D63"/>
    <w:rsid w:val="00A64A8F"/>
    <w:rsid w:val="00A761D3"/>
    <w:rsid w:val="00A772B0"/>
    <w:rsid w:val="00AA053D"/>
    <w:rsid w:val="00AA4476"/>
    <w:rsid w:val="00AA5B16"/>
    <w:rsid w:val="00B36FC8"/>
    <w:rsid w:val="00B772E8"/>
    <w:rsid w:val="00BF55F5"/>
    <w:rsid w:val="00C028A9"/>
    <w:rsid w:val="00C37456"/>
    <w:rsid w:val="00C80BB2"/>
    <w:rsid w:val="00CA3D16"/>
    <w:rsid w:val="00CC3961"/>
    <w:rsid w:val="00DA673E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4E4"/>
  <w15:chartTrackingRefBased/>
  <w15:docId w15:val="{CA7042A2-7A4B-4EDE-8ECC-B1039877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F5"/>
  </w:style>
  <w:style w:type="paragraph" w:styleId="Footer">
    <w:name w:val="footer"/>
    <w:basedOn w:val="Normal"/>
    <w:link w:val="FooterChar"/>
    <w:uiPriority w:val="99"/>
    <w:unhideWhenUsed/>
    <w:rsid w:val="00BF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34</Lines>
  <Paragraphs>28</Paragraphs>
  <ScaleCrop>false</ScaleCrop>
  <Company>European Commission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LESZNYAK Agnes (DGT)</dc:creator>
  <cp:keywords/>
  <dc:description/>
  <cp:lastModifiedBy>LESZNYAK Agnes (DGT)</cp:lastModifiedBy>
  <cp:revision>4</cp:revision>
  <dcterms:created xsi:type="dcterms:W3CDTF">2020-06-10T12:21:00Z</dcterms:created>
  <dcterms:modified xsi:type="dcterms:W3CDTF">2020-06-10T13:30:00Z</dcterms:modified>
</cp:coreProperties>
</file>